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8633" w14:textId="77777777" w:rsidR="00693176" w:rsidRPr="00693176" w:rsidRDefault="00693176" w:rsidP="006931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3176">
        <w:rPr>
          <w:rFonts w:ascii="Times New Roman" w:hAnsi="Times New Roman" w:cs="Times New Roman"/>
          <w:b/>
          <w:bCs/>
          <w:sz w:val="24"/>
          <w:szCs w:val="24"/>
        </w:rPr>
        <w:t>Список вопросов к зачету</w:t>
      </w:r>
    </w:p>
    <w:p w14:paraId="6FBA5B7E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1.</w:t>
      </w:r>
      <w:r w:rsidRPr="00693176">
        <w:rPr>
          <w:rFonts w:ascii="Times New Roman" w:hAnsi="Times New Roman" w:cs="Times New Roman"/>
          <w:sz w:val="24"/>
          <w:szCs w:val="24"/>
        </w:rPr>
        <w:tab/>
        <w:t>Определение n-мерного линейного пространства.</w:t>
      </w:r>
    </w:p>
    <w:p w14:paraId="5B54F279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2.</w:t>
      </w:r>
      <w:r w:rsidRPr="00693176">
        <w:rPr>
          <w:rFonts w:ascii="Times New Roman" w:hAnsi="Times New Roman" w:cs="Times New Roman"/>
          <w:sz w:val="24"/>
          <w:szCs w:val="24"/>
        </w:rPr>
        <w:tab/>
        <w:t>Базис n-мерного пространства.</w:t>
      </w:r>
    </w:p>
    <w:p w14:paraId="64E6F5FB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3.</w:t>
      </w:r>
      <w:r w:rsidRPr="00693176">
        <w:rPr>
          <w:rFonts w:ascii="Times New Roman" w:hAnsi="Times New Roman" w:cs="Times New Roman"/>
          <w:sz w:val="24"/>
          <w:szCs w:val="24"/>
        </w:rPr>
        <w:tab/>
        <w:t>Переход от одного базиса к другому.</w:t>
      </w:r>
    </w:p>
    <w:p w14:paraId="0B7778DA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4.</w:t>
      </w:r>
      <w:r w:rsidRPr="00693176">
        <w:rPr>
          <w:rFonts w:ascii="Times New Roman" w:hAnsi="Times New Roman" w:cs="Times New Roman"/>
          <w:sz w:val="24"/>
          <w:szCs w:val="24"/>
        </w:rPr>
        <w:tab/>
        <w:t>Подпространства линейного пространства.</w:t>
      </w:r>
    </w:p>
    <w:p w14:paraId="0163EE6F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5.</w:t>
      </w:r>
      <w:r w:rsidRPr="00693176">
        <w:rPr>
          <w:rFonts w:ascii="Times New Roman" w:hAnsi="Times New Roman" w:cs="Times New Roman"/>
          <w:sz w:val="24"/>
          <w:szCs w:val="24"/>
        </w:rPr>
        <w:tab/>
        <w:t xml:space="preserve">Теорема </w:t>
      </w:r>
      <w:proofErr w:type="spellStart"/>
      <w:r w:rsidRPr="00693176">
        <w:rPr>
          <w:rFonts w:ascii="Times New Roman" w:hAnsi="Times New Roman" w:cs="Times New Roman"/>
          <w:sz w:val="24"/>
          <w:szCs w:val="24"/>
        </w:rPr>
        <w:t>Штейница</w:t>
      </w:r>
      <w:proofErr w:type="spellEnd"/>
      <w:r w:rsidRPr="00693176">
        <w:rPr>
          <w:rFonts w:ascii="Times New Roman" w:hAnsi="Times New Roman" w:cs="Times New Roman"/>
          <w:sz w:val="24"/>
          <w:szCs w:val="24"/>
        </w:rPr>
        <w:t xml:space="preserve"> «о замене».</w:t>
      </w:r>
    </w:p>
    <w:p w14:paraId="71BEC461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6.</w:t>
      </w:r>
      <w:r w:rsidRPr="00693176">
        <w:rPr>
          <w:rFonts w:ascii="Times New Roman" w:hAnsi="Times New Roman" w:cs="Times New Roman"/>
          <w:sz w:val="24"/>
          <w:szCs w:val="24"/>
        </w:rPr>
        <w:tab/>
        <w:t>Определение и свойства линейного оператора.</w:t>
      </w:r>
    </w:p>
    <w:p w14:paraId="3E80B5F3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7.</w:t>
      </w:r>
      <w:r w:rsidRPr="00693176">
        <w:rPr>
          <w:rFonts w:ascii="Times New Roman" w:hAnsi="Times New Roman" w:cs="Times New Roman"/>
          <w:sz w:val="24"/>
          <w:szCs w:val="24"/>
        </w:rPr>
        <w:tab/>
        <w:t>Действия с линейным оператором.</w:t>
      </w:r>
    </w:p>
    <w:p w14:paraId="6AD10244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8.</w:t>
      </w:r>
      <w:r w:rsidRPr="00693176">
        <w:rPr>
          <w:rFonts w:ascii="Times New Roman" w:hAnsi="Times New Roman" w:cs="Times New Roman"/>
          <w:sz w:val="24"/>
          <w:szCs w:val="24"/>
        </w:rPr>
        <w:tab/>
        <w:t>Матрица линейного отображения.</w:t>
      </w:r>
    </w:p>
    <w:p w14:paraId="6F50E67B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9.</w:t>
      </w:r>
      <w:r w:rsidRPr="00693176">
        <w:rPr>
          <w:rFonts w:ascii="Times New Roman" w:hAnsi="Times New Roman" w:cs="Times New Roman"/>
          <w:sz w:val="24"/>
          <w:szCs w:val="24"/>
        </w:rPr>
        <w:tab/>
        <w:t>Ядро и образ линейного оператора.</w:t>
      </w:r>
    </w:p>
    <w:p w14:paraId="0DA6FF96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10.</w:t>
      </w:r>
      <w:r w:rsidRPr="00693176">
        <w:rPr>
          <w:rFonts w:ascii="Times New Roman" w:hAnsi="Times New Roman" w:cs="Times New Roman"/>
          <w:sz w:val="24"/>
          <w:szCs w:val="24"/>
        </w:rPr>
        <w:tab/>
        <w:t>Инвариантные подпространства, собственные векторы линейного оператора.</w:t>
      </w:r>
    </w:p>
    <w:p w14:paraId="5AA7DD8E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11.</w:t>
      </w:r>
      <w:r w:rsidRPr="00693176">
        <w:rPr>
          <w:rFonts w:ascii="Times New Roman" w:hAnsi="Times New Roman" w:cs="Times New Roman"/>
          <w:sz w:val="24"/>
          <w:szCs w:val="24"/>
        </w:rPr>
        <w:tab/>
        <w:t>Гиперплоскость n-мерного пространства.</w:t>
      </w:r>
    </w:p>
    <w:p w14:paraId="74EB7609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12.</w:t>
      </w:r>
      <w:r w:rsidRPr="00693176">
        <w:rPr>
          <w:rFonts w:ascii="Times New Roman" w:hAnsi="Times New Roman" w:cs="Times New Roman"/>
          <w:sz w:val="24"/>
          <w:szCs w:val="24"/>
        </w:rPr>
        <w:tab/>
        <w:t>Диаметральная гиперплоскость</w:t>
      </w:r>
    </w:p>
    <w:p w14:paraId="081C353A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13.</w:t>
      </w:r>
      <w:r w:rsidRPr="00693176">
        <w:rPr>
          <w:rFonts w:ascii="Times New Roman" w:hAnsi="Times New Roman" w:cs="Times New Roman"/>
          <w:sz w:val="24"/>
          <w:szCs w:val="24"/>
        </w:rPr>
        <w:tab/>
        <w:t>Особые направления. Сопряженные направления.</w:t>
      </w:r>
    </w:p>
    <w:p w14:paraId="3D32B296" w14:textId="77777777" w:rsidR="00693176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14.</w:t>
      </w:r>
      <w:r w:rsidRPr="00693176">
        <w:rPr>
          <w:rFonts w:ascii="Times New Roman" w:hAnsi="Times New Roman" w:cs="Times New Roman"/>
          <w:sz w:val="24"/>
          <w:szCs w:val="24"/>
        </w:rPr>
        <w:tab/>
        <w:t>Уравнение гиперповерхности. Центр гиперповерхности.</w:t>
      </w:r>
    </w:p>
    <w:p w14:paraId="1E2989CD" w14:textId="5CF9E707" w:rsidR="00830CDF" w:rsidRPr="00693176" w:rsidRDefault="00693176" w:rsidP="00693176">
      <w:pPr>
        <w:rPr>
          <w:rFonts w:ascii="Times New Roman" w:hAnsi="Times New Roman" w:cs="Times New Roman"/>
          <w:sz w:val="24"/>
          <w:szCs w:val="24"/>
        </w:rPr>
      </w:pPr>
      <w:r w:rsidRPr="00693176">
        <w:rPr>
          <w:rFonts w:ascii="Times New Roman" w:hAnsi="Times New Roman" w:cs="Times New Roman"/>
          <w:sz w:val="24"/>
          <w:szCs w:val="24"/>
        </w:rPr>
        <w:t>15.</w:t>
      </w:r>
      <w:r w:rsidRPr="00693176">
        <w:rPr>
          <w:rFonts w:ascii="Times New Roman" w:hAnsi="Times New Roman" w:cs="Times New Roman"/>
          <w:sz w:val="24"/>
          <w:szCs w:val="24"/>
        </w:rPr>
        <w:tab/>
        <w:t>Классификация гиперповерхностей второго порядка.</w:t>
      </w:r>
    </w:p>
    <w:sectPr w:rsidR="00830CDF" w:rsidRPr="0069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BAA"/>
    <w:rsid w:val="005A16B7"/>
    <w:rsid w:val="00693176"/>
    <w:rsid w:val="00830CDF"/>
    <w:rsid w:val="00977BAA"/>
    <w:rsid w:val="00BD0FC2"/>
    <w:rsid w:val="00FD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A7B14-7E50-45EA-8AB9-D5E34000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Сидорякина</dc:creator>
  <cp:keywords/>
  <dc:description/>
  <cp:lastModifiedBy>Валентина Сидорякина</cp:lastModifiedBy>
  <cp:revision>2</cp:revision>
  <dcterms:created xsi:type="dcterms:W3CDTF">2024-10-28T08:31:00Z</dcterms:created>
  <dcterms:modified xsi:type="dcterms:W3CDTF">2024-10-28T08:32:00Z</dcterms:modified>
</cp:coreProperties>
</file>